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6FBC97" w14:textId="77777777" w:rsidR="00DF2048" w:rsidRDefault="008C5625" w:rsidP="008C5625">
      <w:pPr>
        <w:tabs>
          <w:tab w:val="left" w:pos="5245"/>
        </w:tabs>
        <w:spacing w:line="380" w:lineRule="exact"/>
        <w:jc w:val="right"/>
        <w:rPr>
          <w:rFonts w:ascii="Calibri" w:eastAsiaTheme="minorEastAsia" w:hAnsi="Calibri" w:cs="Calibri"/>
          <w:b/>
          <w:noProof/>
          <w:color w:val="0070C0"/>
          <w:lang w:val="fr-FR"/>
        </w:rPr>
      </w:pPr>
      <w:r w:rsidRPr="008C5625">
        <w:rPr>
          <w:rFonts w:ascii="Calibri" w:eastAsiaTheme="minorEastAsia" w:hAnsi="Calibri" w:cs="Calibri"/>
          <w:b/>
          <w:noProof/>
          <w:color w:val="0070C0"/>
          <w:lang w:val="fr-FR"/>
        </w:rPr>
        <w:t>Paris</w:t>
      </w:r>
      <w:r w:rsidRPr="008C5625">
        <w:rPr>
          <w:rFonts w:ascii="Calibri" w:eastAsiaTheme="minorEastAsia" w:hAnsi="Calibri" w:cs="Calibri"/>
          <w:bCs/>
          <w:noProof/>
          <w:color w:val="0070C0"/>
          <w:lang w:val="fr-FR"/>
        </w:rPr>
        <w:t xml:space="preserve">, </w:t>
      </w:r>
      <w:r w:rsidRPr="008C5625">
        <w:rPr>
          <w:rFonts w:ascii="Calibri" w:eastAsiaTheme="minorEastAsia" w:hAnsi="Calibri" w:cs="Calibri"/>
          <w:b/>
          <w:noProof/>
          <w:color w:val="0070C0"/>
          <w:lang w:val="fr-FR"/>
        </w:rPr>
        <w:t xml:space="preserve">17 </w:t>
      </w:r>
      <w:r>
        <w:rPr>
          <w:rFonts w:ascii="Calibri" w:eastAsiaTheme="minorEastAsia" w:hAnsi="Calibri" w:cs="Calibri"/>
          <w:b/>
          <w:noProof/>
          <w:color w:val="0070C0"/>
          <w:lang w:val="fr-FR"/>
        </w:rPr>
        <w:t>octobre</w:t>
      </w:r>
      <w:r w:rsidRPr="008C5625">
        <w:rPr>
          <w:rFonts w:ascii="Calibri" w:eastAsiaTheme="minorEastAsia" w:hAnsi="Calibri" w:cs="Calibri"/>
          <w:b/>
          <w:noProof/>
          <w:color w:val="0070C0"/>
          <w:lang w:val="fr-FR"/>
        </w:rPr>
        <w:t xml:space="preserve"> 2022</w:t>
      </w:r>
    </w:p>
    <w:p w14:paraId="46A2C69F" w14:textId="77777777" w:rsidR="008C5625" w:rsidRDefault="008C5625" w:rsidP="008C5625">
      <w:pPr>
        <w:tabs>
          <w:tab w:val="left" w:pos="5245"/>
        </w:tabs>
        <w:spacing w:line="380" w:lineRule="exact"/>
        <w:jc w:val="right"/>
        <w:rPr>
          <w:rFonts w:ascii="Calibri" w:eastAsiaTheme="minorEastAsia" w:hAnsi="Calibri" w:cs="Calibri"/>
          <w:b/>
          <w:noProof/>
          <w:color w:val="0070C0"/>
          <w:lang w:val="fr-FR"/>
        </w:rPr>
      </w:pPr>
    </w:p>
    <w:p w14:paraId="6DAA8C76" w14:textId="77777777" w:rsidR="008C5625" w:rsidRPr="008C5625" w:rsidRDefault="008C5625" w:rsidP="008C5625">
      <w:pPr>
        <w:tabs>
          <w:tab w:val="left" w:pos="5245"/>
        </w:tabs>
        <w:spacing w:line="380" w:lineRule="exact"/>
        <w:jc w:val="center"/>
        <w:rPr>
          <w:rFonts w:ascii="Calibri" w:eastAsiaTheme="minorEastAsia" w:hAnsi="Calibri" w:cs="Calibri"/>
          <w:b/>
          <w:noProof/>
          <w:color w:val="0070C0"/>
          <w:sz w:val="36"/>
          <w:lang w:val="fr-FR"/>
        </w:rPr>
      </w:pPr>
      <w:r w:rsidRPr="008C5625">
        <w:rPr>
          <w:rFonts w:ascii="Calibri" w:eastAsiaTheme="minorEastAsia" w:hAnsi="Calibri" w:cs="Calibri"/>
          <w:b/>
          <w:noProof/>
          <w:color w:val="0070C0"/>
          <w:sz w:val="36"/>
          <w:lang w:val="fr-FR"/>
        </w:rPr>
        <w:t>Communiqué de presse</w:t>
      </w:r>
    </w:p>
    <w:p w14:paraId="42DB8EBE" w14:textId="77777777" w:rsidR="008C5625" w:rsidRPr="0030663E" w:rsidRDefault="008C5625" w:rsidP="008C5625">
      <w:pPr>
        <w:tabs>
          <w:tab w:val="left" w:pos="5245"/>
        </w:tabs>
        <w:spacing w:line="380" w:lineRule="exact"/>
        <w:jc w:val="both"/>
        <w:rPr>
          <w:rFonts w:ascii="Calibri" w:eastAsiaTheme="minorEastAsia" w:hAnsi="Calibri" w:cs="Calibri"/>
          <w:b/>
          <w:noProof/>
          <w:color w:val="0070C0"/>
          <w:lang w:val="fr-FR"/>
        </w:rPr>
      </w:pPr>
    </w:p>
    <w:p w14:paraId="7BFFDCDF" w14:textId="77777777" w:rsidR="008C5625" w:rsidRPr="008C5625" w:rsidRDefault="008C5625" w:rsidP="008C5625">
      <w:pPr>
        <w:pBdr>
          <w:top w:val="single" w:sz="4" w:space="1" w:color="auto"/>
          <w:left w:val="single" w:sz="4" w:space="4" w:color="auto"/>
          <w:bottom w:val="single" w:sz="4" w:space="1" w:color="auto"/>
          <w:right w:val="single" w:sz="4" w:space="4" w:color="auto"/>
        </w:pBdr>
        <w:spacing w:line="380" w:lineRule="exact"/>
        <w:jc w:val="center"/>
        <w:rPr>
          <w:rFonts w:ascii="Calibri" w:eastAsiaTheme="minorEastAsia" w:hAnsi="Calibri" w:cs="Calibri"/>
          <w:b/>
          <w:noProof/>
          <w:color w:val="FF0000"/>
          <w:sz w:val="32"/>
          <w:szCs w:val="32"/>
          <w:lang w:val="fr-FR"/>
        </w:rPr>
      </w:pPr>
      <w:r w:rsidRPr="008C5625">
        <w:rPr>
          <w:rFonts w:ascii="Calibri" w:eastAsiaTheme="minorEastAsia" w:hAnsi="Calibri" w:cs="Calibri"/>
          <w:b/>
          <w:noProof/>
          <w:color w:val="FF0000"/>
          <w:sz w:val="32"/>
          <w:szCs w:val="32"/>
          <w:lang w:val="fr-FR"/>
        </w:rPr>
        <w:t>Vaccination des enfants, un acte fondateur dans le suivi médical</w:t>
      </w:r>
    </w:p>
    <w:p w14:paraId="21C94CA7" w14:textId="77777777" w:rsidR="008C5625" w:rsidRPr="008C5625" w:rsidRDefault="008C5625" w:rsidP="008C5625">
      <w:pPr>
        <w:pBdr>
          <w:top w:val="single" w:sz="4" w:space="1" w:color="auto"/>
          <w:left w:val="single" w:sz="4" w:space="4" w:color="auto"/>
          <w:bottom w:val="single" w:sz="4" w:space="1" w:color="auto"/>
          <w:right w:val="single" w:sz="4" w:space="4" w:color="auto"/>
        </w:pBdr>
        <w:spacing w:line="380" w:lineRule="exact"/>
        <w:jc w:val="center"/>
        <w:rPr>
          <w:rFonts w:ascii="Calibri" w:eastAsiaTheme="minorEastAsia" w:hAnsi="Calibri" w:cs="Calibri"/>
          <w:bCs/>
          <w:noProof/>
          <w:color w:val="404040" w:themeColor="text1" w:themeTint="BF"/>
          <w:sz w:val="36"/>
          <w:szCs w:val="36"/>
          <w:lang w:val="fr-FR"/>
        </w:rPr>
      </w:pPr>
      <w:r w:rsidRPr="008C5625">
        <w:rPr>
          <w:rFonts w:ascii="Calibri" w:eastAsiaTheme="minorEastAsia" w:hAnsi="Calibri" w:cs="Calibri"/>
          <w:bCs/>
          <w:noProof/>
          <w:color w:val="404040" w:themeColor="text1" w:themeTint="BF"/>
          <w:sz w:val="28"/>
          <w:szCs w:val="28"/>
          <w:lang w:val="fr-FR"/>
        </w:rPr>
        <w:t>Les  pédiatres libéraux rappellent l’importance</w:t>
      </w:r>
      <w:r w:rsidRPr="008C5625">
        <w:rPr>
          <w:rFonts w:ascii="Calibri" w:eastAsiaTheme="minorEastAsia" w:hAnsi="Calibri" w:cs="Calibri"/>
          <w:bCs/>
          <w:noProof/>
          <w:color w:val="404040" w:themeColor="text1" w:themeTint="BF"/>
          <w:sz w:val="28"/>
          <w:szCs w:val="28"/>
          <w:lang w:val="fr-FR"/>
        </w:rPr>
        <w:br/>
        <w:t xml:space="preserve">d’une approche longitudinale des enfants </w:t>
      </w:r>
    </w:p>
    <w:p w14:paraId="428E5D0A" w14:textId="77777777" w:rsidR="008C5625" w:rsidRDefault="008C5625" w:rsidP="00DF2048">
      <w:pPr>
        <w:pStyle w:val="Corps"/>
        <w:spacing w:after="80" w:line="288" w:lineRule="auto"/>
        <w:ind w:right="6803"/>
        <w:jc w:val="center"/>
        <w:rPr>
          <w:rFonts w:ascii="Times New Roman" w:eastAsia="Times New Roman" w:hAnsi="Times New Roman" w:cs="Times New Roman"/>
          <w:b/>
          <w:bCs/>
          <w:color w:val="004D80"/>
          <w:sz w:val="24"/>
          <w:szCs w:val="24"/>
        </w:rPr>
      </w:pPr>
    </w:p>
    <w:p w14:paraId="6A940F37" w14:textId="77777777" w:rsidR="008C5625" w:rsidRPr="0030663E" w:rsidRDefault="008C5625" w:rsidP="008C5625">
      <w:pPr>
        <w:ind w:firstLine="567"/>
        <w:jc w:val="both"/>
        <w:rPr>
          <w:rFonts w:ascii="Calibri" w:eastAsiaTheme="minorEastAsia" w:hAnsi="Calibri" w:cs="Calibri"/>
          <w:bCs/>
          <w:noProof/>
          <w:color w:val="262626" w:themeColor="text1" w:themeTint="D9"/>
          <w:lang w:val="fr-FR"/>
        </w:rPr>
      </w:pPr>
    </w:p>
    <w:p w14:paraId="4D188EDD" w14:textId="08D767A9" w:rsidR="008C5625" w:rsidRPr="0030663E" w:rsidRDefault="008C5625" w:rsidP="008C5625">
      <w:pPr>
        <w:spacing w:after="120"/>
        <w:ind w:left="284" w:right="-1" w:firstLine="567"/>
        <w:jc w:val="both"/>
        <w:rPr>
          <w:rFonts w:ascii="Calibri" w:eastAsiaTheme="minorEastAsia" w:hAnsi="Calibri" w:cs="Calibri"/>
          <w:bCs/>
          <w:noProof/>
          <w:color w:val="262626" w:themeColor="text1" w:themeTint="D9"/>
          <w:lang w:val="fr-FR"/>
        </w:rPr>
      </w:pPr>
      <w:r w:rsidRPr="008C5625">
        <w:rPr>
          <w:rFonts w:ascii="Calibri" w:eastAsiaTheme="minorEastAsia" w:hAnsi="Calibri" w:cs="Calibri"/>
          <w:bCs/>
          <w:noProof/>
          <w:color w:val="262626" w:themeColor="text1" w:themeTint="D9"/>
          <w:lang w:val="fr-FR"/>
        </w:rPr>
        <w:t xml:space="preserve">Alors que les indicateurs des épidémies infantiles ont remonté très significativement après le relachement des mesures d’hygiène imposées par les phases les plus aigues de la pandémie </w:t>
      </w:r>
      <w:hyperlink r:id="rId7" w:history="1">
        <w:r w:rsidRPr="008C5625">
          <w:rPr>
            <w:rStyle w:val="Lienhypertexte"/>
            <w:rFonts w:ascii="Calibri" w:eastAsiaTheme="minorEastAsia" w:hAnsi="Calibri" w:cs="Calibri"/>
            <w:bCs/>
            <w:noProof/>
            <w:lang w:val="fr-FR"/>
          </w:rPr>
          <w:t>COVID</w:t>
        </w:r>
      </w:hyperlink>
      <w:r w:rsidR="00E51B0E">
        <w:rPr>
          <w:rFonts w:ascii="Calibri" w:eastAsiaTheme="minorEastAsia" w:hAnsi="Calibri" w:cs="Calibri"/>
          <w:bCs/>
          <w:noProof/>
          <w:color w:val="262626" w:themeColor="text1" w:themeTint="D9"/>
          <w:lang w:val="fr-FR"/>
        </w:rPr>
        <w:t> </w:t>
      </w:r>
      <w:r w:rsidRPr="008C5625">
        <w:rPr>
          <w:rFonts w:ascii="Calibri" w:eastAsiaTheme="minorEastAsia" w:hAnsi="Calibri" w:cs="Calibri"/>
          <w:bCs/>
          <w:noProof/>
          <w:color w:val="262626" w:themeColor="text1" w:themeTint="D9"/>
          <w:vertAlign w:val="superscript"/>
          <w:lang w:val="fr-FR"/>
        </w:rPr>
        <w:t>1</w:t>
      </w:r>
      <w:r w:rsidRPr="008C5625">
        <w:rPr>
          <w:rFonts w:ascii="Calibri" w:eastAsiaTheme="minorEastAsia" w:hAnsi="Calibri" w:cs="Calibri"/>
          <w:bCs/>
          <w:noProof/>
          <w:color w:val="262626" w:themeColor="text1" w:themeTint="D9"/>
          <w:lang w:val="fr-FR"/>
        </w:rPr>
        <w:t>, l’acte de la vaccination des enfants et adolescents vient de s’ouvrir à d’autres professionnels de santé que les médecins</w:t>
      </w:r>
      <w:r w:rsidR="007A4AD3">
        <w:rPr>
          <w:rFonts w:ascii="Calibri" w:eastAsiaTheme="minorEastAsia" w:hAnsi="Calibri" w:cs="Calibri"/>
          <w:bCs/>
          <w:noProof/>
          <w:color w:val="262626" w:themeColor="text1" w:themeTint="D9"/>
          <w:lang w:val="fr-FR"/>
        </w:rPr>
        <w:t xml:space="preserve"> : </w:t>
      </w:r>
      <w:r w:rsidRPr="008C5625">
        <w:rPr>
          <w:rFonts w:ascii="Calibri" w:eastAsiaTheme="minorEastAsia" w:hAnsi="Calibri" w:cs="Calibri"/>
          <w:bCs/>
          <w:noProof/>
          <w:color w:val="262626" w:themeColor="text1" w:themeTint="D9"/>
          <w:lang w:val="fr-FR"/>
        </w:rPr>
        <w:t>paramedicaux, sages-femmes et pharmaciens, selon une recommandation de la HAS datée du 28 juin 2022</w:t>
      </w:r>
      <w:r w:rsidR="00E51B0E">
        <w:rPr>
          <w:rFonts w:ascii="Calibri" w:eastAsiaTheme="minorEastAsia" w:hAnsi="Calibri" w:cs="Calibri"/>
          <w:bCs/>
          <w:noProof/>
          <w:color w:val="262626" w:themeColor="text1" w:themeTint="D9"/>
          <w:lang w:val="fr-FR"/>
        </w:rPr>
        <w:t> </w:t>
      </w:r>
      <w:r w:rsidRPr="008C5625">
        <w:rPr>
          <w:rFonts w:ascii="Calibri" w:eastAsiaTheme="minorEastAsia" w:hAnsi="Calibri" w:cs="Calibri"/>
          <w:bCs/>
          <w:noProof/>
          <w:color w:val="262626" w:themeColor="text1" w:themeTint="D9"/>
          <w:vertAlign w:val="superscript"/>
          <w:lang w:val="fr-FR"/>
        </w:rPr>
        <w:t>2</w:t>
      </w:r>
      <w:r w:rsidRPr="008C5625">
        <w:rPr>
          <w:rFonts w:ascii="Calibri" w:eastAsiaTheme="minorEastAsia" w:hAnsi="Calibri" w:cs="Calibri"/>
          <w:bCs/>
          <w:noProof/>
          <w:color w:val="262626" w:themeColor="text1" w:themeTint="D9"/>
          <w:lang w:val="fr-FR"/>
        </w:rPr>
        <w:t>. Tout en comprenant la nécessité, du fait de la démographie médicale déclinante, d’élargir à d’autres professionnels de santé la possibilité de vacciner, les pédiatres s’inquiète</w:t>
      </w:r>
      <w:r w:rsidR="00E51B0E">
        <w:rPr>
          <w:rFonts w:ascii="Calibri" w:eastAsiaTheme="minorEastAsia" w:hAnsi="Calibri" w:cs="Calibri"/>
          <w:bCs/>
          <w:noProof/>
          <w:color w:val="262626" w:themeColor="text1" w:themeTint="D9"/>
          <w:lang w:val="fr-FR"/>
        </w:rPr>
        <w:t>nt</w:t>
      </w:r>
      <w:r w:rsidRPr="008C5625">
        <w:rPr>
          <w:rFonts w:ascii="Calibri" w:eastAsiaTheme="minorEastAsia" w:hAnsi="Calibri" w:cs="Calibri"/>
          <w:bCs/>
          <w:noProof/>
          <w:color w:val="262626" w:themeColor="text1" w:themeTint="D9"/>
          <w:lang w:val="fr-FR"/>
        </w:rPr>
        <w:t xml:space="preserve"> d’une part de l’absence de formation préalable suffisante  de ces professionnels à la vaccination, et d’autre part que l’acte de vaccination soit maintenant découplé des </w:t>
      </w:r>
      <w:r w:rsidR="00E51B0E">
        <w:rPr>
          <w:rFonts w:ascii="Calibri" w:eastAsiaTheme="minorEastAsia" w:hAnsi="Calibri" w:cs="Calibri"/>
          <w:bCs/>
          <w:noProof/>
          <w:color w:val="262626" w:themeColor="text1" w:themeTint="D9"/>
          <w:lang w:val="fr-FR"/>
        </w:rPr>
        <w:t>consultations</w:t>
      </w:r>
      <w:r w:rsidRPr="008C5625">
        <w:rPr>
          <w:rFonts w:ascii="Calibri" w:eastAsiaTheme="minorEastAsia" w:hAnsi="Calibri" w:cs="Calibri"/>
          <w:bCs/>
          <w:noProof/>
          <w:color w:val="262626" w:themeColor="text1" w:themeTint="D9"/>
          <w:lang w:val="fr-FR"/>
        </w:rPr>
        <w:t xml:space="preserve"> de suivi habituelles des nourrissons et des enfants. </w:t>
      </w:r>
      <w:r w:rsidRPr="0030663E">
        <w:rPr>
          <w:rFonts w:ascii="Calibri" w:eastAsiaTheme="minorEastAsia" w:hAnsi="Calibri" w:cs="Calibri"/>
          <w:bCs/>
          <w:noProof/>
          <w:color w:val="262626" w:themeColor="text1" w:themeTint="D9"/>
          <w:lang w:val="fr-FR"/>
        </w:rPr>
        <w:t xml:space="preserve">Le gouvernement semble privilégier une « organisation généraliste » de la vaccination de tous les publics </w:t>
      </w:r>
      <w:r w:rsidR="0030663E" w:rsidRPr="0030663E">
        <w:rPr>
          <w:rFonts w:ascii="Calibri" w:eastAsiaTheme="minorEastAsia" w:hAnsi="Calibri" w:cs="Calibri"/>
          <w:bCs/>
          <w:noProof/>
          <w:color w:val="262626" w:themeColor="text1" w:themeTint="D9"/>
          <w:lang w:val="fr-FR"/>
        </w:rPr>
        <w:t>avec pour conséquence une</w:t>
      </w:r>
      <w:r w:rsidRPr="0030663E">
        <w:rPr>
          <w:rFonts w:ascii="Calibri" w:eastAsiaTheme="minorEastAsia" w:hAnsi="Calibri" w:cs="Calibri"/>
          <w:bCs/>
          <w:noProof/>
          <w:color w:val="262626" w:themeColor="text1" w:themeTint="D9"/>
          <w:lang w:val="fr-FR"/>
        </w:rPr>
        <w:t xml:space="preserve"> banalisation de l’acte et </w:t>
      </w:r>
      <w:r w:rsidR="0030663E" w:rsidRPr="0030663E">
        <w:rPr>
          <w:rFonts w:ascii="Calibri" w:eastAsiaTheme="minorEastAsia" w:hAnsi="Calibri" w:cs="Calibri"/>
          <w:bCs/>
          <w:noProof/>
          <w:color w:val="262626" w:themeColor="text1" w:themeTint="D9"/>
          <w:lang w:val="fr-FR"/>
        </w:rPr>
        <w:t>un</w:t>
      </w:r>
      <w:r w:rsidRPr="0030663E">
        <w:rPr>
          <w:rFonts w:ascii="Calibri" w:eastAsiaTheme="minorEastAsia" w:hAnsi="Calibri" w:cs="Calibri"/>
          <w:bCs/>
          <w:noProof/>
          <w:color w:val="262626" w:themeColor="text1" w:themeTint="D9"/>
          <w:lang w:val="fr-FR"/>
        </w:rPr>
        <w:t xml:space="preserve"> nivellement par le bas.</w:t>
      </w:r>
    </w:p>
    <w:p w14:paraId="422DA4FA" w14:textId="77777777" w:rsidR="008C5625" w:rsidRPr="008C5625" w:rsidRDefault="008C5625" w:rsidP="008C5625">
      <w:pPr>
        <w:spacing w:after="120"/>
        <w:ind w:left="284" w:right="-1" w:firstLine="567"/>
        <w:jc w:val="both"/>
        <w:rPr>
          <w:rFonts w:ascii="Calibri" w:eastAsiaTheme="minorEastAsia" w:hAnsi="Calibri" w:cs="Calibri"/>
          <w:bCs/>
          <w:noProof/>
          <w:color w:val="262626" w:themeColor="text1" w:themeTint="D9"/>
          <w:lang w:val="fr-FR"/>
        </w:rPr>
      </w:pPr>
      <w:r w:rsidRPr="008C5625">
        <w:rPr>
          <w:rFonts w:ascii="Calibri" w:eastAsiaTheme="minorEastAsia" w:hAnsi="Calibri" w:cs="Calibri"/>
          <w:bCs/>
          <w:noProof/>
          <w:color w:val="262626" w:themeColor="text1" w:themeTint="D9"/>
          <w:lang w:val="fr-FR"/>
        </w:rPr>
        <w:t xml:space="preserve">La formation des professionnels de santé ne se résume pas à l’apprentissage des techniques d’injection (déjà plus compliquées chez l’enfant) mais aussi à des connaissances minimales sur les vaccins, leurs indications, </w:t>
      </w:r>
      <w:r w:rsidR="00E51B0E">
        <w:rPr>
          <w:rFonts w:ascii="Calibri" w:eastAsiaTheme="minorEastAsia" w:hAnsi="Calibri" w:cs="Calibri"/>
          <w:bCs/>
          <w:noProof/>
          <w:color w:val="262626" w:themeColor="text1" w:themeTint="D9"/>
          <w:lang w:val="fr-FR"/>
        </w:rPr>
        <w:t xml:space="preserve">leurs </w:t>
      </w:r>
      <w:r w:rsidRPr="008C5625">
        <w:rPr>
          <w:rFonts w:ascii="Calibri" w:eastAsiaTheme="minorEastAsia" w:hAnsi="Calibri" w:cs="Calibri"/>
          <w:bCs/>
          <w:noProof/>
          <w:color w:val="262626" w:themeColor="text1" w:themeTint="D9"/>
          <w:lang w:val="fr-FR"/>
        </w:rPr>
        <w:t>contrindications, leur précautions d’emplois…</w:t>
      </w:r>
    </w:p>
    <w:p w14:paraId="6C1EEBDA" w14:textId="77777777" w:rsidR="008C5625" w:rsidRPr="008C5625" w:rsidRDefault="008C5625" w:rsidP="008C5625">
      <w:pPr>
        <w:spacing w:after="120"/>
        <w:ind w:left="284" w:right="-1" w:firstLine="567"/>
        <w:jc w:val="both"/>
        <w:rPr>
          <w:rFonts w:ascii="Calibri" w:eastAsiaTheme="minorEastAsia" w:hAnsi="Calibri" w:cs="Calibri"/>
          <w:bCs/>
          <w:noProof/>
          <w:color w:val="262626" w:themeColor="text1" w:themeTint="D9"/>
          <w:lang w:val="fr-FR"/>
        </w:rPr>
      </w:pPr>
      <w:r w:rsidRPr="008C5625">
        <w:rPr>
          <w:rFonts w:ascii="Calibri" w:eastAsiaTheme="minorEastAsia" w:hAnsi="Calibri" w:cs="Calibri"/>
          <w:bCs/>
          <w:noProof/>
          <w:color w:val="262626" w:themeColor="text1" w:themeTint="D9"/>
          <w:lang w:val="fr-FR"/>
        </w:rPr>
        <w:t>Face à cette évolution, le SNPF et le CNP de pédiatrie mettent en garde contre un manque d’accompagnement spécifique des familles face à un geste anxiogène pour certains : la phobie des piqures et des vaccins contribuent à des couvertures vaccinales insuffisantes</w:t>
      </w:r>
      <w:r w:rsidR="00E51B0E">
        <w:rPr>
          <w:rFonts w:ascii="Calibri" w:eastAsiaTheme="minorEastAsia" w:hAnsi="Calibri" w:cs="Calibri"/>
          <w:bCs/>
          <w:noProof/>
          <w:color w:val="262626" w:themeColor="text1" w:themeTint="D9"/>
          <w:lang w:val="fr-FR"/>
        </w:rPr>
        <w:t> </w:t>
      </w:r>
      <w:r w:rsidRPr="008C5625">
        <w:rPr>
          <w:rFonts w:ascii="Calibri" w:eastAsiaTheme="minorEastAsia" w:hAnsi="Calibri" w:cs="Calibri"/>
          <w:bCs/>
          <w:noProof/>
          <w:color w:val="262626" w:themeColor="text1" w:themeTint="D9"/>
          <w:vertAlign w:val="superscript"/>
          <w:lang w:val="fr-FR"/>
        </w:rPr>
        <w:t>3</w:t>
      </w:r>
      <w:r w:rsidRPr="008C5625">
        <w:rPr>
          <w:rFonts w:ascii="Calibri" w:eastAsiaTheme="minorEastAsia" w:hAnsi="Calibri" w:cs="Calibri"/>
          <w:bCs/>
          <w:noProof/>
          <w:color w:val="262626" w:themeColor="text1" w:themeTint="D9"/>
          <w:lang w:val="fr-FR"/>
        </w:rPr>
        <w:t>. A noter que la Covid et la forte prise de parole des antivax a pu contribuer à éroder la confiance à l’égard de l’acte vaccinal des enfants</w:t>
      </w:r>
      <w:r w:rsidR="00E51B0E">
        <w:rPr>
          <w:rFonts w:ascii="Calibri" w:eastAsiaTheme="minorEastAsia" w:hAnsi="Calibri" w:cs="Calibri"/>
          <w:bCs/>
          <w:noProof/>
          <w:color w:val="262626" w:themeColor="text1" w:themeTint="D9"/>
          <w:lang w:val="fr-FR"/>
        </w:rPr>
        <w:t> </w:t>
      </w:r>
      <w:r w:rsidRPr="008C5625">
        <w:rPr>
          <w:rFonts w:ascii="Calibri" w:eastAsiaTheme="minorEastAsia" w:hAnsi="Calibri" w:cs="Calibri"/>
          <w:bCs/>
          <w:noProof/>
          <w:color w:val="262626" w:themeColor="text1" w:themeTint="D9"/>
          <w:vertAlign w:val="superscript"/>
          <w:lang w:val="fr-FR"/>
        </w:rPr>
        <w:t>4</w:t>
      </w:r>
      <w:r w:rsidR="00E51B0E">
        <w:rPr>
          <w:rFonts w:ascii="Calibri" w:eastAsiaTheme="minorEastAsia" w:hAnsi="Calibri" w:cs="Calibri"/>
          <w:bCs/>
          <w:noProof/>
          <w:color w:val="262626" w:themeColor="text1" w:themeTint="D9"/>
          <w:lang w:val="fr-FR"/>
        </w:rPr>
        <w:t xml:space="preserve">. </w:t>
      </w:r>
      <w:r w:rsidRPr="008C5625">
        <w:rPr>
          <w:rFonts w:ascii="Calibri" w:eastAsiaTheme="minorEastAsia" w:hAnsi="Calibri" w:cs="Calibri"/>
          <w:bCs/>
          <w:noProof/>
          <w:color w:val="262626" w:themeColor="text1" w:themeTint="D9"/>
          <w:lang w:val="fr-FR"/>
        </w:rPr>
        <w:t>Avant même la pandémie, la France était un des pays du monde où l’hésitation vaccinale était la plus marquée</w:t>
      </w:r>
      <w:r w:rsidR="00E51B0E">
        <w:rPr>
          <w:rFonts w:ascii="Calibri" w:eastAsiaTheme="minorEastAsia" w:hAnsi="Calibri" w:cs="Calibri"/>
          <w:bCs/>
          <w:noProof/>
          <w:color w:val="262626" w:themeColor="text1" w:themeTint="D9"/>
          <w:lang w:val="fr-FR"/>
        </w:rPr>
        <w:t> </w:t>
      </w:r>
      <w:r w:rsidRPr="008C5625">
        <w:rPr>
          <w:rFonts w:ascii="Calibri" w:eastAsiaTheme="minorEastAsia" w:hAnsi="Calibri" w:cs="Calibri"/>
          <w:bCs/>
          <w:noProof/>
          <w:color w:val="262626" w:themeColor="text1" w:themeTint="D9"/>
          <w:vertAlign w:val="superscript"/>
          <w:lang w:val="fr-FR"/>
        </w:rPr>
        <w:t>5</w:t>
      </w:r>
      <w:r w:rsidR="00E51B0E" w:rsidRPr="008C5625">
        <w:rPr>
          <w:rFonts w:ascii="Calibri" w:eastAsiaTheme="minorEastAsia" w:hAnsi="Calibri" w:cs="Calibri"/>
          <w:bCs/>
          <w:noProof/>
          <w:color w:val="262626" w:themeColor="text1" w:themeTint="D9"/>
          <w:lang w:val="fr-FR"/>
        </w:rPr>
        <w:t>.</w:t>
      </w:r>
    </w:p>
    <w:p w14:paraId="794AECA6" w14:textId="77777777" w:rsidR="008C5625" w:rsidRPr="008C5625" w:rsidRDefault="008C5625" w:rsidP="008C5625">
      <w:pPr>
        <w:ind w:left="284" w:right="-1" w:firstLine="567"/>
        <w:jc w:val="both"/>
        <w:rPr>
          <w:rFonts w:ascii="Calibri" w:eastAsiaTheme="minorEastAsia" w:hAnsi="Calibri" w:cs="Calibri"/>
          <w:bCs/>
          <w:noProof/>
          <w:color w:val="262626" w:themeColor="text1" w:themeTint="D9"/>
          <w:lang w:val="fr-FR"/>
        </w:rPr>
      </w:pPr>
      <w:r w:rsidRPr="008C5625">
        <w:rPr>
          <w:rFonts w:ascii="Calibri" w:eastAsiaTheme="minorEastAsia" w:hAnsi="Calibri" w:cs="Calibri"/>
          <w:bCs/>
          <w:noProof/>
          <w:color w:val="262626" w:themeColor="text1" w:themeTint="D9"/>
          <w:lang w:val="fr-FR"/>
        </w:rPr>
        <w:t>Les pédiatres libéraux alertent sur une démarche vaccinale banalisée. En effet, l’articulation des consultations obligatoires avec le calendrier vaccinal est un élément majeur dans les stratégies de prévention des pathologies de l’enfant, en matière de dépistage et de diagnostic précoce.</w:t>
      </w:r>
    </w:p>
    <w:p w14:paraId="4A659038" w14:textId="77777777" w:rsidR="008C5625" w:rsidRPr="008C5625" w:rsidRDefault="008C5625" w:rsidP="008C5625">
      <w:pPr>
        <w:pStyle w:val="NormalWeb"/>
        <w:shd w:val="clear" w:color="auto" w:fill="FFFFFF"/>
        <w:spacing w:before="240" w:beforeAutospacing="0" w:after="240" w:afterAutospacing="0"/>
        <w:ind w:left="284" w:right="-1" w:firstLine="567"/>
        <w:jc w:val="both"/>
        <w:rPr>
          <w:rFonts w:ascii="Calibri" w:eastAsiaTheme="minorEastAsia" w:hAnsi="Calibri" w:cs="Calibri"/>
          <w:bCs/>
          <w:noProof/>
          <w:color w:val="262626" w:themeColor="text1" w:themeTint="D9"/>
        </w:rPr>
      </w:pPr>
      <w:r w:rsidRPr="008C5625">
        <w:rPr>
          <w:rFonts w:ascii="Calibri" w:eastAsiaTheme="minorEastAsia" w:hAnsi="Calibri" w:cs="Calibri"/>
          <w:bCs/>
          <w:noProof/>
          <w:color w:val="262626" w:themeColor="text1" w:themeTint="D9"/>
        </w:rPr>
        <w:t xml:space="preserve">Par ailleurs, les professionnels de proximité souvent très mobilisés par des problématiques qui leurs sont propre  risquent d’être peu disponibles pour répondre aux besoins très spécifiques des nouveau-nés, des enfants et des adolescents. </w:t>
      </w:r>
    </w:p>
    <w:p w14:paraId="355A8E2F" w14:textId="77777777" w:rsidR="008C5625" w:rsidRPr="008C5625" w:rsidRDefault="008C5625" w:rsidP="00E51B0E">
      <w:pPr>
        <w:spacing w:after="120"/>
        <w:ind w:left="284" w:right="-1" w:firstLine="567"/>
        <w:jc w:val="both"/>
        <w:rPr>
          <w:rFonts w:ascii="Calibri" w:eastAsiaTheme="minorEastAsia" w:hAnsi="Calibri" w:cs="Calibri"/>
          <w:bCs/>
          <w:noProof/>
          <w:color w:val="262626" w:themeColor="text1" w:themeTint="D9"/>
          <w:lang w:val="fr-FR"/>
        </w:rPr>
      </w:pPr>
      <w:r w:rsidRPr="008C5625">
        <w:rPr>
          <w:rFonts w:ascii="Calibri" w:eastAsiaTheme="minorEastAsia" w:hAnsi="Calibri" w:cs="Calibri"/>
          <w:bCs/>
          <w:noProof/>
          <w:color w:val="262626" w:themeColor="text1" w:themeTint="D9"/>
          <w:lang w:val="fr-FR"/>
        </w:rPr>
        <w:t xml:space="preserve">Toutefois, dans les contextes spécifiques de certains territoires avec les difficultés d’accès </w:t>
      </w:r>
      <w:r w:rsidR="00E51B0E">
        <w:rPr>
          <w:rFonts w:ascii="Calibri" w:eastAsiaTheme="minorEastAsia" w:hAnsi="Calibri" w:cs="Calibri"/>
          <w:bCs/>
          <w:noProof/>
          <w:color w:val="262626" w:themeColor="text1" w:themeTint="D9"/>
          <w:lang w:val="fr-FR"/>
        </w:rPr>
        <w:t>à</w:t>
      </w:r>
      <w:r w:rsidRPr="008C5625">
        <w:rPr>
          <w:rFonts w:ascii="Calibri" w:eastAsiaTheme="minorEastAsia" w:hAnsi="Calibri" w:cs="Calibri"/>
          <w:bCs/>
          <w:noProof/>
          <w:color w:val="262626" w:themeColor="text1" w:themeTint="D9"/>
          <w:lang w:val="fr-FR"/>
        </w:rPr>
        <w:t xml:space="preserve"> la pédiatrie, les pédiatres de ville souhaitent rappeler leur disponibilité et leur souhait que la </w:t>
      </w:r>
      <w:r w:rsidRPr="008C5625">
        <w:rPr>
          <w:rFonts w:ascii="Calibri" w:eastAsiaTheme="minorEastAsia" w:hAnsi="Calibri" w:cs="Calibri"/>
          <w:bCs/>
          <w:noProof/>
          <w:color w:val="262626" w:themeColor="text1" w:themeTint="D9"/>
          <w:lang w:val="fr-FR"/>
        </w:rPr>
        <w:lastRenderedPageBreak/>
        <w:t>délégation de taches s’effectue dans un cadre de maisons de santé pédiatriques ou d’un réseau se soins organisé autour d’un pédiatre ou d’un médecin généraliste. Les pédiatres sont prêt</w:t>
      </w:r>
      <w:r w:rsidR="00E51B0E">
        <w:rPr>
          <w:rFonts w:ascii="Calibri" w:eastAsiaTheme="minorEastAsia" w:hAnsi="Calibri" w:cs="Calibri"/>
          <w:bCs/>
          <w:noProof/>
          <w:color w:val="262626" w:themeColor="text1" w:themeTint="D9"/>
          <w:lang w:val="fr-FR"/>
        </w:rPr>
        <w:t>s</w:t>
      </w:r>
      <w:r w:rsidRPr="008C5625">
        <w:rPr>
          <w:rFonts w:ascii="Calibri" w:eastAsiaTheme="minorEastAsia" w:hAnsi="Calibri" w:cs="Calibri"/>
          <w:bCs/>
          <w:noProof/>
          <w:color w:val="262626" w:themeColor="text1" w:themeTint="D9"/>
          <w:lang w:val="fr-FR"/>
        </w:rPr>
        <w:t xml:space="preserve"> à s’engager à former les professionnels de santé nouvellement autorisés à vacciner.</w:t>
      </w:r>
    </w:p>
    <w:p w14:paraId="6E0D72BE" w14:textId="77777777" w:rsidR="008C5625" w:rsidRPr="008C5625" w:rsidRDefault="008C5625" w:rsidP="008C5625">
      <w:pPr>
        <w:pStyle w:val="NormalWeb"/>
        <w:spacing w:before="0" w:beforeAutospacing="0" w:after="0" w:afterAutospacing="0"/>
        <w:ind w:left="284" w:right="-1" w:firstLine="567"/>
        <w:jc w:val="both"/>
        <w:rPr>
          <w:rFonts w:ascii="Calibri" w:hAnsi="Calibri" w:cs="Calibri"/>
          <w:bCs/>
          <w:color w:val="262626" w:themeColor="text1" w:themeTint="D9"/>
        </w:rPr>
      </w:pPr>
      <w:r w:rsidRPr="008C5625">
        <w:rPr>
          <w:rFonts w:ascii="Calibri" w:hAnsi="Calibri" w:cs="Calibri"/>
          <w:bCs/>
          <w:color w:val="262626" w:themeColor="text1" w:themeTint="D9"/>
        </w:rPr>
        <w:t>Alors que le rapport de l’IGAS et le PLFSS 2022 n’ont pas sacralisé le rôle clé des pédiatres dans la santé des enfants, le SNPF soutenu par les associations familiales et celles des jeunes patients chroniques souligne plus que jamais la nécessité d’une prise en charge globale des enfants par des experts de la santé de l’enfant.</w:t>
      </w:r>
    </w:p>
    <w:p w14:paraId="14F7E2C7" w14:textId="77777777" w:rsidR="008C5625" w:rsidRDefault="008C5625" w:rsidP="008C5625">
      <w:pPr>
        <w:pStyle w:val="NormalWeb"/>
        <w:spacing w:before="0" w:beforeAutospacing="0" w:after="0" w:afterAutospacing="0"/>
        <w:jc w:val="center"/>
        <w:rPr>
          <w:rFonts w:ascii="Source Sans Pro" w:hAnsi="Source Sans Pro"/>
          <w:b/>
          <w:bCs/>
          <w:color w:val="000000"/>
          <w:sz w:val="22"/>
          <w:szCs w:val="22"/>
        </w:rPr>
      </w:pPr>
    </w:p>
    <w:p w14:paraId="04C3BA99" w14:textId="77777777" w:rsidR="008C5625" w:rsidRDefault="008C5625" w:rsidP="008C5625">
      <w:pPr>
        <w:pStyle w:val="NormalWeb"/>
        <w:spacing w:before="0" w:beforeAutospacing="0" w:after="0" w:afterAutospacing="0"/>
        <w:jc w:val="center"/>
        <w:rPr>
          <w:rFonts w:ascii="Source Sans Pro" w:hAnsi="Source Sans Pro"/>
          <w:b/>
          <w:bCs/>
          <w:color w:val="000000"/>
          <w:sz w:val="22"/>
          <w:szCs w:val="22"/>
        </w:rPr>
      </w:pPr>
    </w:p>
    <w:p w14:paraId="63DA2BF0" w14:textId="77777777" w:rsidR="008C5625" w:rsidRDefault="008C5625" w:rsidP="008C5625">
      <w:pPr>
        <w:pStyle w:val="NormalWeb"/>
        <w:spacing w:before="0" w:beforeAutospacing="0" w:after="0" w:afterAutospacing="0"/>
        <w:jc w:val="center"/>
        <w:rPr>
          <w:rFonts w:ascii="Source Sans Pro" w:hAnsi="Source Sans Pro"/>
          <w:b/>
          <w:bCs/>
          <w:color w:val="000000"/>
          <w:sz w:val="22"/>
          <w:szCs w:val="22"/>
        </w:rPr>
      </w:pPr>
    </w:p>
    <w:p w14:paraId="43D48468" w14:textId="77777777" w:rsidR="008C5625" w:rsidRDefault="008C5625" w:rsidP="008C5625">
      <w:pPr>
        <w:pStyle w:val="NormalWeb"/>
        <w:spacing w:before="0" w:beforeAutospacing="0" w:after="0" w:afterAutospacing="0"/>
        <w:jc w:val="center"/>
        <w:rPr>
          <w:rFonts w:ascii="Source Sans Pro" w:hAnsi="Source Sans Pro"/>
          <w:b/>
          <w:bCs/>
          <w:color w:val="000000"/>
          <w:sz w:val="22"/>
          <w:szCs w:val="22"/>
        </w:rPr>
      </w:pPr>
      <w:r w:rsidRPr="0001564A">
        <w:rPr>
          <w:rFonts w:ascii="Source Sans Pro" w:hAnsi="Source Sans Pro"/>
          <w:b/>
          <w:bCs/>
          <w:color w:val="000000"/>
          <w:sz w:val="22"/>
          <w:szCs w:val="22"/>
        </w:rPr>
        <w:t>Contact presse</w:t>
      </w:r>
    </w:p>
    <w:p w14:paraId="4AE86B0A" w14:textId="77777777" w:rsidR="008C5625" w:rsidRDefault="008C5625" w:rsidP="008C5625">
      <w:pPr>
        <w:pStyle w:val="NormalWeb"/>
        <w:spacing w:before="0" w:beforeAutospacing="0" w:after="0" w:afterAutospacing="0"/>
        <w:jc w:val="center"/>
        <w:rPr>
          <w:rFonts w:ascii="Source Sans Pro" w:hAnsi="Source Sans Pro"/>
          <w:b/>
          <w:bCs/>
          <w:color w:val="000000"/>
          <w:sz w:val="22"/>
          <w:szCs w:val="22"/>
        </w:rPr>
      </w:pPr>
    </w:p>
    <w:p w14:paraId="515F2FA1" w14:textId="77777777" w:rsidR="008C5625" w:rsidRDefault="008C5625" w:rsidP="008C5625">
      <w:pPr>
        <w:pStyle w:val="NormalWeb"/>
        <w:spacing w:before="0" w:beforeAutospacing="0" w:after="0" w:afterAutospacing="0"/>
        <w:jc w:val="center"/>
        <w:rPr>
          <w:rFonts w:ascii="Source Sans Pro" w:hAnsi="Source Sans Pro"/>
          <w:b/>
          <w:bCs/>
          <w:color w:val="000000"/>
          <w:sz w:val="22"/>
          <w:szCs w:val="22"/>
        </w:rPr>
      </w:pPr>
      <w:r>
        <w:rPr>
          <w:rFonts w:ascii="Source Sans Pro" w:hAnsi="Source Sans Pro"/>
          <w:b/>
          <w:bCs/>
          <w:color w:val="000000"/>
          <w:sz w:val="22"/>
          <w:szCs w:val="22"/>
        </w:rPr>
        <w:t xml:space="preserve">Brigitte </w:t>
      </w:r>
      <w:r w:rsidRPr="00E51B0E">
        <w:rPr>
          <w:rFonts w:ascii="Source Sans Pro" w:hAnsi="Source Sans Pro"/>
          <w:b/>
          <w:bCs/>
          <w:smallCaps/>
          <w:color w:val="000000"/>
          <w:sz w:val="22"/>
          <w:szCs w:val="22"/>
        </w:rPr>
        <w:t>Virey</w:t>
      </w:r>
    </w:p>
    <w:p w14:paraId="4BB31AE4" w14:textId="77777777" w:rsidR="008C5625" w:rsidRDefault="008C5625" w:rsidP="008C5625">
      <w:pPr>
        <w:pStyle w:val="NormalWeb"/>
        <w:spacing w:before="0" w:beforeAutospacing="0" w:after="0" w:afterAutospacing="0"/>
        <w:jc w:val="center"/>
        <w:rPr>
          <w:rFonts w:ascii="Source Sans Pro" w:hAnsi="Source Sans Pro"/>
          <w:b/>
          <w:bCs/>
          <w:color w:val="000000"/>
          <w:sz w:val="22"/>
          <w:szCs w:val="22"/>
        </w:rPr>
      </w:pPr>
      <w:r>
        <w:rPr>
          <w:rFonts w:ascii="Source Sans Pro" w:hAnsi="Source Sans Pro"/>
          <w:b/>
          <w:bCs/>
          <w:color w:val="000000"/>
          <w:sz w:val="22"/>
          <w:szCs w:val="22"/>
        </w:rPr>
        <w:t>Présidente SNPF</w:t>
      </w:r>
    </w:p>
    <w:p w14:paraId="311B69C8" w14:textId="77777777" w:rsidR="008C5625" w:rsidRDefault="008C5625" w:rsidP="008C5625">
      <w:pPr>
        <w:pStyle w:val="NormalWeb"/>
        <w:spacing w:before="0" w:beforeAutospacing="0" w:after="0" w:afterAutospacing="0"/>
        <w:jc w:val="center"/>
        <w:rPr>
          <w:rFonts w:ascii="Source Sans Pro" w:hAnsi="Source Sans Pro"/>
          <w:b/>
          <w:bCs/>
          <w:color w:val="000000"/>
          <w:sz w:val="22"/>
          <w:szCs w:val="22"/>
        </w:rPr>
      </w:pPr>
      <w:r>
        <w:rPr>
          <w:rFonts w:ascii="Source Sans Pro" w:hAnsi="Source Sans Pro"/>
          <w:b/>
          <w:bCs/>
          <w:color w:val="000000"/>
          <w:sz w:val="22"/>
          <w:szCs w:val="22"/>
        </w:rPr>
        <w:t>06 09 66 53 59</w:t>
      </w:r>
    </w:p>
    <w:p w14:paraId="03B5E60A" w14:textId="77777777" w:rsidR="008C5625" w:rsidRPr="00605AFB" w:rsidRDefault="008C5625" w:rsidP="008C5625">
      <w:pPr>
        <w:pStyle w:val="NormalWeb"/>
        <w:spacing w:before="0" w:beforeAutospacing="0" w:after="0" w:afterAutospacing="0"/>
        <w:jc w:val="center"/>
        <w:rPr>
          <w:rFonts w:ascii="Source Sans Pro" w:hAnsi="Source Sans Pro"/>
          <w:b/>
          <w:bCs/>
          <w:color w:val="000000"/>
          <w:sz w:val="22"/>
          <w:szCs w:val="22"/>
        </w:rPr>
      </w:pPr>
    </w:p>
    <w:p w14:paraId="7446D2F0" w14:textId="77777777" w:rsidR="008C5625" w:rsidRPr="00D4413C" w:rsidRDefault="008C5625" w:rsidP="008C5625">
      <w:pPr>
        <w:pStyle w:val="NormalWeb"/>
        <w:spacing w:before="0" w:beforeAutospacing="0" w:after="0" w:afterAutospacing="0"/>
        <w:jc w:val="center"/>
        <w:rPr>
          <w:rFonts w:ascii="Source Sans Pro" w:hAnsi="Source Sans Pro"/>
          <w:color w:val="000000"/>
        </w:rPr>
      </w:pPr>
      <w:r w:rsidRPr="00D4413C">
        <w:rPr>
          <w:rFonts w:ascii="Source Sans Pro" w:hAnsi="Source Sans Pro"/>
          <w:color w:val="000000"/>
        </w:rPr>
        <w:t>Vanessa Ralli</w:t>
      </w:r>
    </w:p>
    <w:p w14:paraId="5C174210" w14:textId="77777777" w:rsidR="008C5625" w:rsidRDefault="008C5625" w:rsidP="008C5625">
      <w:pPr>
        <w:pStyle w:val="NormalWeb"/>
        <w:spacing w:before="0" w:beforeAutospacing="0" w:after="0" w:afterAutospacing="0"/>
        <w:jc w:val="center"/>
        <w:rPr>
          <w:rFonts w:ascii="Source Sans Pro" w:hAnsi="Source Sans Pro"/>
          <w:color w:val="000000"/>
        </w:rPr>
      </w:pPr>
      <w:r w:rsidRPr="00D4413C">
        <w:rPr>
          <w:rFonts w:ascii="Source Sans Pro" w:hAnsi="Source Sans Pro"/>
          <w:color w:val="000000"/>
        </w:rPr>
        <w:t>LINK</w:t>
      </w:r>
      <w:r w:rsidRPr="00D4413C">
        <w:rPr>
          <w:rFonts w:ascii="Source Sans Pro" w:hAnsi="Source Sans Pro"/>
          <w:color w:val="000000"/>
        </w:rPr>
        <w:br/>
        <w:t>33 6 61</w:t>
      </w:r>
      <w:r>
        <w:rPr>
          <w:rFonts w:ascii="Source Sans Pro" w:hAnsi="Source Sans Pro"/>
          <w:color w:val="000000"/>
        </w:rPr>
        <w:t xml:space="preserve"> </w:t>
      </w:r>
      <w:r w:rsidRPr="00D4413C">
        <w:rPr>
          <w:rFonts w:ascii="Source Sans Pro" w:hAnsi="Source Sans Pro"/>
          <w:color w:val="000000"/>
        </w:rPr>
        <w:t>1</w:t>
      </w:r>
      <w:r>
        <w:rPr>
          <w:rFonts w:ascii="Source Sans Pro" w:hAnsi="Source Sans Pro"/>
          <w:color w:val="000000"/>
        </w:rPr>
        <w:t xml:space="preserve">8 </w:t>
      </w:r>
      <w:r w:rsidRPr="00D4413C">
        <w:rPr>
          <w:rFonts w:ascii="Source Sans Pro" w:hAnsi="Source Sans Pro"/>
          <w:color w:val="000000"/>
        </w:rPr>
        <w:t>06</w:t>
      </w:r>
      <w:r>
        <w:rPr>
          <w:rFonts w:ascii="Source Sans Pro" w:hAnsi="Source Sans Pro"/>
          <w:color w:val="000000"/>
        </w:rPr>
        <w:t xml:space="preserve"> </w:t>
      </w:r>
      <w:r w:rsidRPr="00D4413C">
        <w:rPr>
          <w:rFonts w:ascii="Source Sans Pro" w:hAnsi="Source Sans Pro"/>
          <w:color w:val="000000"/>
        </w:rPr>
        <w:t>52</w:t>
      </w:r>
    </w:p>
    <w:p w14:paraId="034E49D7" w14:textId="77777777" w:rsidR="008C5625" w:rsidRDefault="008C5625" w:rsidP="008C5625">
      <w:pPr>
        <w:pStyle w:val="NormalWeb"/>
        <w:spacing w:before="0" w:beforeAutospacing="0" w:after="0" w:afterAutospacing="0"/>
        <w:jc w:val="center"/>
        <w:rPr>
          <w:rFonts w:ascii="Source Sans Pro" w:hAnsi="Source Sans Pro"/>
          <w:color w:val="000000"/>
        </w:rPr>
      </w:pPr>
    </w:p>
    <w:p w14:paraId="6D737167" w14:textId="77777777" w:rsidR="008C5625" w:rsidRDefault="008C5625" w:rsidP="008C5625">
      <w:pPr>
        <w:pStyle w:val="NormalWeb"/>
        <w:spacing w:before="0" w:beforeAutospacing="0" w:after="0" w:afterAutospacing="0"/>
        <w:jc w:val="center"/>
        <w:rPr>
          <w:rFonts w:ascii="Source Sans Pro" w:hAnsi="Source Sans Pro"/>
          <w:color w:val="000000"/>
        </w:rPr>
      </w:pPr>
    </w:p>
    <w:p w14:paraId="00D27462" w14:textId="77777777" w:rsidR="008C5625" w:rsidRDefault="008C5625" w:rsidP="008C5625">
      <w:pPr>
        <w:pStyle w:val="NormalWeb"/>
        <w:spacing w:before="0" w:beforeAutospacing="0" w:after="0" w:afterAutospacing="0"/>
        <w:jc w:val="center"/>
        <w:rPr>
          <w:rFonts w:ascii="Source Sans Pro" w:hAnsi="Source Sans Pro"/>
          <w:color w:val="000000"/>
        </w:rPr>
      </w:pPr>
    </w:p>
    <w:p w14:paraId="24C796AA" w14:textId="77777777" w:rsidR="008C5625" w:rsidRPr="00B80ECF" w:rsidRDefault="008C5625" w:rsidP="008C5625">
      <w:pPr>
        <w:pStyle w:val="NormalWeb"/>
        <w:spacing w:before="0" w:beforeAutospacing="0" w:after="0" w:afterAutospacing="0"/>
        <w:jc w:val="center"/>
        <w:rPr>
          <w:rFonts w:ascii="Source Sans Pro" w:hAnsi="Source Sans Pro"/>
        </w:rPr>
      </w:pPr>
    </w:p>
    <w:p w14:paraId="17EBC10B" w14:textId="77777777" w:rsidR="008C5625" w:rsidRPr="00E51B0E" w:rsidRDefault="00000000" w:rsidP="008C5625">
      <w:pPr>
        <w:pStyle w:val="Paragraphedeliste"/>
        <w:numPr>
          <w:ilvl w:val="0"/>
          <w:numId w:val="1"/>
        </w:numPr>
        <w:spacing w:line="240" w:lineRule="auto"/>
        <w:rPr>
          <w:sz w:val="20"/>
          <w:szCs w:val="20"/>
        </w:rPr>
      </w:pPr>
      <w:hyperlink r:id="rId8" w:history="1">
        <w:r w:rsidR="008C5625" w:rsidRPr="00E51B0E">
          <w:rPr>
            <w:rStyle w:val="Lienhypertexte"/>
            <w:sz w:val="20"/>
            <w:szCs w:val="20"/>
          </w:rPr>
          <w:t>https://www.thelancet.com/journals/lanepe/article/PIIS2666-7762(22)00193-4/fulltext</w:t>
        </w:r>
      </w:hyperlink>
      <w:r w:rsidR="00E51B0E" w:rsidRPr="00E51B0E">
        <w:rPr>
          <w:rStyle w:val="Lienhypertexte"/>
          <w:sz w:val="20"/>
          <w:szCs w:val="20"/>
        </w:rPr>
        <w:t>.</w:t>
      </w:r>
    </w:p>
    <w:p w14:paraId="4A597456" w14:textId="77777777" w:rsidR="008C5625" w:rsidRPr="00E51B0E" w:rsidRDefault="00000000" w:rsidP="008C5625">
      <w:pPr>
        <w:pStyle w:val="Notedebasdepage"/>
        <w:numPr>
          <w:ilvl w:val="0"/>
          <w:numId w:val="1"/>
        </w:numPr>
      </w:pPr>
      <w:hyperlink r:id="rId9" w:history="1">
        <w:r w:rsidR="008C5625" w:rsidRPr="00E51B0E">
          <w:rPr>
            <w:rStyle w:val="Lienhypertexte"/>
          </w:rPr>
          <w:t>https://www.has-sante.fr/jcms/p_3335030/fr/elargissement-des-competences-en-matiere-de-vaccination-des-infirmiers-des-pharmaciens-et-des-sages-femmes-chez-les-enfants-et-adolescents-de-moins-de-16-ans</w:t>
        </w:r>
      </w:hyperlink>
      <w:r w:rsidR="00E51B0E" w:rsidRPr="00E51B0E">
        <w:rPr>
          <w:rStyle w:val="Lienhypertexte"/>
        </w:rPr>
        <w:t>.</w:t>
      </w:r>
    </w:p>
    <w:p w14:paraId="64D0E550" w14:textId="77777777" w:rsidR="008C5625" w:rsidRPr="00E51B0E" w:rsidRDefault="008C5625" w:rsidP="008C5625">
      <w:pPr>
        <w:pStyle w:val="Notedebasdepage"/>
        <w:numPr>
          <w:ilvl w:val="0"/>
          <w:numId w:val="1"/>
        </w:numPr>
      </w:pPr>
      <w:r w:rsidRPr="00E51B0E">
        <w:t>https://www.em-consulte.com/article/1435771/phobie-des-vaccins-peur-des-piqures%C2%A0-comment-les-p</w:t>
      </w:r>
      <w:r w:rsidR="00E51B0E" w:rsidRPr="00E51B0E">
        <w:t>.</w:t>
      </w:r>
    </w:p>
    <w:p w14:paraId="3CFA1CF5" w14:textId="77777777" w:rsidR="008C5625" w:rsidRPr="00E51B0E" w:rsidRDefault="008C5625" w:rsidP="008C5625">
      <w:pPr>
        <w:pStyle w:val="Notedebasdepage"/>
        <w:numPr>
          <w:ilvl w:val="0"/>
          <w:numId w:val="1"/>
        </w:numPr>
      </w:pPr>
      <w:r w:rsidRPr="00E51B0E">
        <w:t>https://www.thelancet.com/journals/lancet/article/PIIS0140-6736(22)00150-7/fulltext</w:t>
      </w:r>
    </w:p>
    <w:p w14:paraId="6235B63F" w14:textId="77777777" w:rsidR="00875BB0" w:rsidRPr="00E51B0E" w:rsidRDefault="008C5625" w:rsidP="00E51B0E">
      <w:pPr>
        <w:pStyle w:val="Notedebasdepage"/>
        <w:numPr>
          <w:ilvl w:val="0"/>
          <w:numId w:val="1"/>
        </w:numPr>
        <w:rPr>
          <w:rFonts w:cstheme="minorHAnsi"/>
          <w:lang w:val="en-US"/>
        </w:rPr>
      </w:pPr>
      <w:r w:rsidRPr="00E51B0E">
        <w:rPr>
          <w:rFonts w:eastAsia="Times New Roman" w:cstheme="minorHAnsi"/>
          <w:color w:val="505050"/>
          <w:lang w:val="en-US" w:eastAsia="zh-CN"/>
        </w:rPr>
        <w:t>The state of vaccine confidence 2016: global insights through a 67-country</w:t>
      </w:r>
      <w:r w:rsidRPr="00E51B0E">
        <w:rPr>
          <w:rFonts w:eastAsia="Times New Roman" w:cstheme="minorHAnsi"/>
          <w:b/>
          <w:bCs/>
          <w:color w:val="505050"/>
          <w:lang w:val="en-US" w:eastAsia="zh-CN"/>
        </w:rPr>
        <w:t xml:space="preserve"> </w:t>
      </w:r>
      <w:proofErr w:type="spellStart"/>
      <w:proofErr w:type="gramStart"/>
      <w:r w:rsidRPr="00E51B0E">
        <w:rPr>
          <w:rFonts w:eastAsia="Times New Roman" w:cstheme="minorHAnsi"/>
          <w:color w:val="505050"/>
          <w:lang w:val="en-US" w:eastAsia="zh-CN"/>
        </w:rPr>
        <w:t>survey</w:t>
      </w:r>
      <w:r w:rsidRPr="00E51B0E">
        <w:rPr>
          <w:rFonts w:eastAsia="Times New Roman" w:cstheme="minorHAnsi"/>
          <w:b/>
          <w:bCs/>
          <w:color w:val="505050"/>
          <w:lang w:val="en-US" w:eastAsia="zh-CN"/>
        </w:rPr>
        <w:t>.</w:t>
      </w:r>
      <w:r w:rsidRPr="00E51B0E">
        <w:rPr>
          <w:rFonts w:eastAsia="Times New Roman" w:cstheme="minorHAnsi"/>
          <w:i/>
          <w:iCs/>
          <w:color w:val="505050"/>
          <w:shd w:val="clear" w:color="auto" w:fill="FFFFFF"/>
          <w:lang w:val="en-US" w:eastAsia="zh-CN"/>
        </w:rPr>
        <w:t>EBioMedicine</w:t>
      </w:r>
      <w:proofErr w:type="spellEnd"/>
      <w:proofErr w:type="gramEnd"/>
      <w:r w:rsidRPr="00E51B0E">
        <w:rPr>
          <w:rFonts w:eastAsia="Times New Roman" w:cstheme="minorHAnsi"/>
          <w:i/>
          <w:iCs/>
          <w:color w:val="505050"/>
          <w:shd w:val="clear" w:color="auto" w:fill="FFFFFF"/>
          <w:lang w:val="en-US" w:eastAsia="zh-CN"/>
        </w:rPr>
        <w:t>.</w:t>
      </w:r>
      <w:r w:rsidRPr="00E51B0E">
        <w:rPr>
          <w:rFonts w:eastAsia="Times New Roman" w:cstheme="minorHAnsi"/>
          <w:color w:val="505050"/>
          <w:shd w:val="clear" w:color="auto" w:fill="FFFFFF"/>
          <w:lang w:val="en-US" w:eastAsia="zh-CN"/>
        </w:rPr>
        <w:t> 2016; 12: 295-301</w:t>
      </w:r>
      <w:r w:rsidR="00E51B0E" w:rsidRPr="00E51B0E">
        <w:rPr>
          <w:rFonts w:eastAsia="Times New Roman" w:cstheme="minorHAnsi"/>
          <w:color w:val="505050"/>
          <w:shd w:val="clear" w:color="auto" w:fill="FFFFFF"/>
          <w:lang w:val="en-US" w:eastAsia="zh-CN"/>
        </w:rPr>
        <w:t>.</w:t>
      </w:r>
    </w:p>
    <w:sectPr w:rsidR="00875BB0" w:rsidRPr="00E51B0E">
      <w:headerReference w:type="even" r:id="rId10"/>
      <w:headerReference w:type="default" r:id="rId11"/>
      <w:footerReference w:type="even" r:id="rId12"/>
      <w:footerReference w:type="default" r:id="rId13"/>
      <w:headerReference w:type="first" r:id="rId14"/>
      <w:footerReference w:type="first" r:id="rId15"/>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73E28" w14:textId="77777777" w:rsidR="000E1464" w:rsidRDefault="000E1464">
      <w:r>
        <w:separator/>
      </w:r>
    </w:p>
  </w:endnote>
  <w:endnote w:type="continuationSeparator" w:id="0">
    <w:p w14:paraId="5EDC6B13" w14:textId="77777777" w:rsidR="000E1464" w:rsidRDefault="000E14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Calibri">
    <w:panose1 w:val="020F0502020204030204"/>
    <w:charset w:val="00"/>
    <w:family w:val="swiss"/>
    <w:pitch w:val="variable"/>
    <w:sig w:usb0="E4002EFF" w:usb1="C000247B" w:usb2="00000009" w:usb3="00000000" w:csb0="000001FF" w:csb1="00000000"/>
  </w:font>
  <w:font w:name="Source Sans Pro">
    <w:altName w:val="Arial"/>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D391" w14:textId="77777777" w:rsidR="0030663E" w:rsidRDefault="0030663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A3A66" w14:textId="77777777" w:rsidR="00875BB0" w:rsidRDefault="00875BB0">
    <w:pPr>
      <w:pStyle w:val="En-tte"/>
      <w:tabs>
        <w:tab w:val="clear" w:pos="9020"/>
        <w:tab w:val="center" w:pos="4819"/>
        <w:tab w:val="right" w:pos="9638"/>
      </w:tabs>
    </w:pPr>
  </w:p>
  <w:p w14:paraId="5A9F3B7D" w14:textId="77777777" w:rsidR="00875BB0" w:rsidRDefault="00BD6926">
    <w:pPr>
      <w:pStyle w:val="En-tte"/>
      <w:tabs>
        <w:tab w:val="clear" w:pos="9020"/>
        <w:tab w:val="center" w:pos="4819"/>
        <w:tab w:val="right" w:pos="9638"/>
      </w:tabs>
    </w:pPr>
    <w:r>
      <w:rPr>
        <w:rFonts w:ascii="Times New Roman" w:eastAsia="Times New Roman" w:hAnsi="Times New Roman" w:cs="Times New Roman"/>
        <w:sz w:val="22"/>
        <w:szCs w:val="22"/>
      </w:rPr>
      <w:tab/>
    </w:r>
    <w:r>
      <w:rPr>
        <w:rFonts w:ascii="Times New Roman" w:eastAsia="Times New Roman" w:hAnsi="Times New Roman" w:cs="Times New Roman"/>
        <w:sz w:val="22"/>
        <w:szCs w:val="22"/>
      </w:rPr>
      <w:tab/>
    </w:r>
    <w:r>
      <w:rPr>
        <w:rFonts w:ascii="Times New Roman" w:eastAsia="Times New Roman" w:hAnsi="Times New Roman" w:cs="Times New Roman"/>
        <w:sz w:val="22"/>
        <w:szCs w:val="22"/>
      </w:rPr>
      <w:fldChar w:fldCharType="begin"/>
    </w:r>
    <w:r>
      <w:rPr>
        <w:rFonts w:ascii="Times New Roman" w:eastAsia="Times New Roman" w:hAnsi="Times New Roman" w:cs="Times New Roman"/>
        <w:sz w:val="22"/>
        <w:szCs w:val="22"/>
      </w:rPr>
      <w:instrText xml:space="preserve"> PAGE </w:instrText>
    </w:r>
    <w:r>
      <w:rPr>
        <w:rFonts w:ascii="Times New Roman" w:eastAsia="Times New Roman" w:hAnsi="Times New Roman" w:cs="Times New Roman"/>
        <w:sz w:val="22"/>
        <w:szCs w:val="22"/>
      </w:rPr>
      <w:fldChar w:fldCharType="separate"/>
    </w:r>
    <w:r w:rsidR="00DF2048">
      <w:rPr>
        <w:rFonts w:ascii="Times New Roman" w:eastAsia="Times New Roman" w:hAnsi="Times New Roman" w:cs="Times New Roman"/>
        <w:noProof/>
        <w:sz w:val="22"/>
        <w:szCs w:val="22"/>
      </w:rPr>
      <w:t>1</w:t>
    </w:r>
    <w:r>
      <w:rPr>
        <w:rFonts w:ascii="Times New Roman" w:eastAsia="Times New Roman" w:hAnsi="Times New Roman" w:cs="Times New Roman"/>
        <w:sz w:val="22"/>
        <w:szCs w:val="22"/>
      </w:rPr>
      <w:fldChar w:fldCharType="end"/>
    </w:r>
    <w:r>
      <w:rPr>
        <w:rFonts w:ascii="Times New Roman" w:hAnsi="Times New Roman"/>
        <w:sz w:val="22"/>
        <w:szCs w:val="22"/>
      </w:rPr>
      <w:t xml:space="preserve"> / </w:t>
    </w:r>
    <w:r>
      <w:rPr>
        <w:rFonts w:ascii="Times New Roman" w:eastAsia="Times New Roman" w:hAnsi="Times New Roman" w:cs="Times New Roman"/>
        <w:sz w:val="22"/>
        <w:szCs w:val="22"/>
      </w:rPr>
      <w:fldChar w:fldCharType="begin"/>
    </w:r>
    <w:r>
      <w:rPr>
        <w:rFonts w:ascii="Times New Roman" w:eastAsia="Times New Roman" w:hAnsi="Times New Roman" w:cs="Times New Roman"/>
        <w:sz w:val="22"/>
        <w:szCs w:val="22"/>
      </w:rPr>
      <w:instrText xml:space="preserve"> NUMPAGES </w:instrText>
    </w:r>
    <w:r>
      <w:rPr>
        <w:rFonts w:ascii="Times New Roman" w:eastAsia="Times New Roman" w:hAnsi="Times New Roman" w:cs="Times New Roman"/>
        <w:sz w:val="22"/>
        <w:szCs w:val="22"/>
      </w:rPr>
      <w:fldChar w:fldCharType="separate"/>
    </w:r>
    <w:r w:rsidR="00DF2048">
      <w:rPr>
        <w:rFonts w:ascii="Times New Roman" w:eastAsia="Times New Roman" w:hAnsi="Times New Roman" w:cs="Times New Roman"/>
        <w:noProof/>
        <w:sz w:val="22"/>
        <w:szCs w:val="22"/>
      </w:rPr>
      <w:t>1</w:t>
    </w:r>
    <w:r>
      <w:rPr>
        <w:rFonts w:ascii="Times New Roman" w:eastAsia="Times New Roman" w:hAnsi="Times New Roman" w:cs="Times New Roman"/>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4D760" w14:textId="77777777" w:rsidR="0030663E" w:rsidRDefault="0030663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CF6BA" w14:textId="77777777" w:rsidR="000E1464" w:rsidRDefault="000E1464">
      <w:r>
        <w:separator/>
      </w:r>
    </w:p>
  </w:footnote>
  <w:footnote w:type="continuationSeparator" w:id="0">
    <w:p w14:paraId="138602DF" w14:textId="77777777" w:rsidR="000E1464" w:rsidRDefault="000E14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CE20B8" w14:textId="77777777" w:rsidR="0030663E" w:rsidRDefault="0030663E">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83876" w14:textId="77777777" w:rsidR="008C5625" w:rsidRDefault="0030663E" w:rsidP="008C5625">
    <w:pPr>
      <w:pStyle w:val="En-tte"/>
      <w:tabs>
        <w:tab w:val="clear" w:pos="9020"/>
        <w:tab w:val="left" w:pos="2947"/>
      </w:tabs>
      <w:rPr>
        <w:rFonts w:ascii="Times New Roman" w:hAnsi="Times New Roman"/>
        <w:sz w:val="22"/>
        <w:szCs w:val="22"/>
      </w:rPr>
    </w:pPr>
    <w:r>
      <w:rPr>
        <w:rFonts w:ascii="Times New Roman" w:hAnsi="Times New Roman"/>
        <w:noProof/>
        <w:sz w:val="22"/>
        <w:szCs w:val="22"/>
        <w14:textOutline w14:w="0" w14:cap="rnd" w14:cmpd="sng" w14:algn="ctr">
          <w14:noFill/>
          <w14:prstDash w14:val="solid"/>
          <w14:bevel/>
        </w14:textOutline>
      </w:rPr>
      <mc:AlternateContent>
        <mc:Choice Requires="wps">
          <w:drawing>
            <wp:anchor distT="0" distB="0" distL="114300" distR="114300" simplePos="0" relativeHeight="251659264" behindDoc="0" locked="0" layoutInCell="1" allowOverlap="1" wp14:anchorId="711AEFB6" wp14:editId="316B07F0">
              <wp:simplePos x="0" y="0"/>
              <wp:positionH relativeFrom="column">
                <wp:posOffset>2581910</wp:posOffset>
              </wp:positionH>
              <wp:positionV relativeFrom="paragraph">
                <wp:posOffset>-60748</wp:posOffset>
              </wp:positionV>
              <wp:extent cx="3869266" cy="1041400"/>
              <wp:effectExtent l="0" t="0" r="17145" b="12700"/>
              <wp:wrapNone/>
              <wp:docPr id="29" name="Zone de texte 29"/>
              <wp:cNvGraphicFramePr/>
              <a:graphic xmlns:a="http://schemas.openxmlformats.org/drawingml/2006/main">
                <a:graphicData uri="http://schemas.microsoft.com/office/word/2010/wordprocessingShape">
                  <wps:wsp>
                    <wps:cNvSpPr txBox="1"/>
                    <wps:spPr>
                      <a:xfrm>
                        <a:off x="0" y="0"/>
                        <a:ext cx="3869266" cy="1041400"/>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20C08534" w14:textId="77777777" w:rsidR="008C5625" w:rsidRDefault="008C5625">
                          <w:r>
                            <w:rPr>
                              <w:noProof/>
                            </w:rPr>
                            <w:drawing>
                              <wp:inline distT="0" distB="0" distL="0" distR="0" wp14:anchorId="62F0D2A2" wp14:editId="4BCD7987">
                                <wp:extent cx="3761602" cy="821267"/>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NPP Logo.png"/>
                                        <pic:cNvPicPr/>
                                      </pic:nvPicPr>
                                      <pic:blipFill>
                                        <a:blip r:embed="rId1">
                                          <a:extLst>
                                            <a:ext uri="{28A0092B-C50C-407E-A947-70E740481C1C}">
                                              <a14:useLocalDpi xmlns:a14="http://schemas.microsoft.com/office/drawing/2010/main" val="0"/>
                                            </a:ext>
                                          </a:extLst>
                                        </a:blip>
                                        <a:stretch>
                                          <a:fillRect/>
                                        </a:stretch>
                                      </pic:blipFill>
                                      <pic:spPr>
                                        <a:xfrm>
                                          <a:off x="0" y="0"/>
                                          <a:ext cx="3773179" cy="823795"/>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9" o:spid="_x0000_s1026" type="#_x0000_t202" style="position:absolute;margin-left:203.3pt;margin-top:-4.8pt;width:304.65pt;height: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" filled="f" strokeweight=".5pt">
              <v:textbox inset="4pt,4pt,4pt,4pt">
                <w:txbxContent>
                  <w:p w:rsidR="008C5625" w:rsidRDefault="008C5625">
                    <w:r>
                      <w:rPr>
                        <w:noProof/>
                      </w:rPr>
                      <w:drawing>
                        <wp:inline distT="0" distB="0" distL="0" distR="0">
                          <wp:extent cx="3761602" cy="821267"/>
                          <wp:effectExtent l="0" t="0" r="0" b="444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NPP Logo.png"/>
                                  <pic:cNvPicPr/>
                                </pic:nvPicPr>
                                <pic:blipFill>
                                  <a:blip r:embed="rId2">
                                    <a:extLst>
                                      <a:ext uri="{28A0092B-C50C-407E-A947-70E740481C1C}">
                                        <a14:useLocalDpi xmlns:a14="http://schemas.microsoft.com/office/drawing/2010/main" val="0"/>
                                      </a:ext>
                                    </a:extLst>
                                  </a:blip>
                                  <a:stretch>
                                    <a:fillRect/>
                                  </a:stretch>
                                </pic:blipFill>
                                <pic:spPr>
                                  <a:xfrm>
                                    <a:off x="0" y="0"/>
                                    <a:ext cx="3773179" cy="823795"/>
                                  </a:xfrm>
                                  <a:prstGeom prst="rect">
                                    <a:avLst/>
                                  </a:prstGeom>
                                </pic:spPr>
                              </pic:pic>
                            </a:graphicData>
                          </a:graphic>
                        </wp:inline>
                      </w:drawing>
                    </w:r>
                  </w:p>
                </w:txbxContent>
              </v:textbox>
            </v:shape>
          </w:pict>
        </mc:Fallback>
      </mc:AlternateContent>
    </w:r>
    <w:r>
      <w:rPr>
        <w:rFonts w:ascii="Times New Roman" w:hAnsi="Times New Roman"/>
        <w:noProof/>
        <w:sz w:val="22"/>
        <w:szCs w:val="22"/>
        <w14:textOutline w14:w="0" w14:cap="rnd" w14:cmpd="sng" w14:algn="ctr">
          <w14:noFill/>
          <w14:prstDash w14:val="solid"/>
          <w14:bevel/>
        </w14:textOutline>
      </w:rPr>
      <mc:AlternateContent>
        <mc:Choice Requires="wps">
          <w:drawing>
            <wp:anchor distT="0" distB="0" distL="114300" distR="114300" simplePos="0" relativeHeight="251660288" behindDoc="0" locked="0" layoutInCell="1" allowOverlap="1" wp14:anchorId="721C4E89" wp14:editId="42FDE17E">
              <wp:simplePos x="0" y="0"/>
              <wp:positionH relativeFrom="column">
                <wp:posOffset>-389890</wp:posOffset>
              </wp:positionH>
              <wp:positionV relativeFrom="paragraph">
                <wp:posOffset>158538</wp:posOffset>
              </wp:positionV>
              <wp:extent cx="2794000" cy="668866"/>
              <wp:effectExtent l="0" t="0" r="12700" b="13970"/>
              <wp:wrapNone/>
              <wp:docPr id="32" name="Zone de texte 32"/>
              <wp:cNvGraphicFramePr/>
              <a:graphic xmlns:a="http://schemas.openxmlformats.org/drawingml/2006/main">
                <a:graphicData uri="http://schemas.microsoft.com/office/word/2010/wordprocessingShape">
                  <wps:wsp>
                    <wps:cNvSpPr txBox="1"/>
                    <wps:spPr>
                      <a:xfrm>
                        <a:off x="0" y="0"/>
                        <a:ext cx="2794000" cy="668866"/>
                      </a:xfrm>
                      <a:prstGeom prst="rect">
                        <a:avLst/>
                      </a:prstGeom>
                      <a:noFill/>
                      <a:ln w="6350">
                        <a:solidFill>
                          <a:prstClr val="black"/>
                        </a:solidFill>
                      </a:ln>
                      <a:effectLst/>
                      <a:sp3d/>
                    </wps:spPr>
                    <wps:style>
                      <a:lnRef idx="0">
                        <a:scrgbClr r="0" g="0" b="0"/>
                      </a:lnRef>
                      <a:fillRef idx="0">
                        <a:scrgbClr r="0" g="0" b="0"/>
                      </a:fillRef>
                      <a:effectRef idx="0">
                        <a:scrgbClr r="0" g="0" b="0"/>
                      </a:effectRef>
                      <a:fontRef idx="none"/>
                    </wps:style>
                    <wps:txbx>
                      <w:txbxContent>
                        <w:p w14:paraId="1257A6C7" w14:textId="77777777" w:rsidR="008C5625" w:rsidRDefault="008C5625">
                          <w:r>
                            <w:rPr>
                              <w:noProof/>
                            </w:rPr>
                            <w:drawing>
                              <wp:inline distT="0" distB="0" distL="0" distR="0" wp14:anchorId="24BC005E" wp14:editId="5B66E532">
                                <wp:extent cx="2686050" cy="486410"/>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SNPF de base.png"/>
                                        <pic:cNvPicPr/>
                                      </pic:nvPicPr>
                                      <pic:blipFill>
                                        <a:blip r:embed="rId3">
                                          <a:extLst>
                                            <a:ext uri="{28A0092B-C50C-407E-A947-70E740481C1C}">
                                              <a14:useLocalDpi xmlns:a14="http://schemas.microsoft.com/office/drawing/2010/main" val="0"/>
                                            </a:ext>
                                          </a:extLst>
                                        </a:blip>
                                        <a:stretch>
                                          <a:fillRect/>
                                        </a:stretch>
                                      </pic:blipFill>
                                      <pic:spPr>
                                        <a:xfrm>
                                          <a:off x="0" y="0"/>
                                          <a:ext cx="2686050" cy="486410"/>
                                        </a:xfrm>
                                        <a:prstGeom prst="rect">
                                          <a:avLst/>
                                        </a:prstGeom>
                                      </pic:spPr>
                                    </pic:pic>
                                  </a:graphicData>
                                </a:graphic>
                              </wp:inline>
                            </w:drawing>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w:pict>
            <v:shape id="Zone de texte 32" o:spid="_x0000_s1027" type="#_x0000_t202" style="position:absolute;margin-left:-30.7pt;margin-top:12.5pt;width:220pt;height:52.6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" filled="f" strokeweight=".5pt">
              <v:textbox style="mso-fit-shape-to-text:t" inset="4pt,4pt,4pt,4pt">
                <w:txbxContent>
                  <w:p w:rsidR="008C5625" w:rsidRDefault="008C5625">
                    <w:r>
                      <w:rPr>
                        <w:noProof/>
                      </w:rPr>
                      <w:drawing>
                        <wp:inline distT="0" distB="0" distL="0" distR="0">
                          <wp:extent cx="2686050" cy="486410"/>
                          <wp:effectExtent l="0" t="0" r="635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Logo SNPF de base.png"/>
                                  <pic:cNvPicPr/>
                                </pic:nvPicPr>
                                <pic:blipFill>
                                  <a:blip r:embed="rId4">
                                    <a:extLst>
                                      <a:ext uri="{28A0092B-C50C-407E-A947-70E740481C1C}">
                                        <a14:useLocalDpi xmlns:a14="http://schemas.microsoft.com/office/drawing/2010/main" val="0"/>
                                      </a:ext>
                                    </a:extLst>
                                  </a:blip>
                                  <a:stretch>
                                    <a:fillRect/>
                                  </a:stretch>
                                </pic:blipFill>
                                <pic:spPr>
                                  <a:xfrm>
                                    <a:off x="0" y="0"/>
                                    <a:ext cx="2686050" cy="486410"/>
                                  </a:xfrm>
                                  <a:prstGeom prst="rect">
                                    <a:avLst/>
                                  </a:prstGeom>
                                </pic:spPr>
                              </pic:pic>
                            </a:graphicData>
                          </a:graphic>
                        </wp:inline>
                      </w:drawing>
                    </w:r>
                  </w:p>
                </w:txbxContent>
              </v:textbox>
            </v:shape>
          </w:pict>
        </mc:Fallback>
      </mc:AlternateContent>
    </w:r>
  </w:p>
  <w:p w14:paraId="4EAAF1F0" w14:textId="77777777" w:rsidR="008C5625" w:rsidRDefault="008C5625" w:rsidP="008C5625">
    <w:pPr>
      <w:pStyle w:val="En-tte"/>
      <w:tabs>
        <w:tab w:val="clear" w:pos="9020"/>
        <w:tab w:val="left" w:pos="2947"/>
      </w:tabs>
      <w:rPr>
        <w:rFonts w:ascii="Times New Roman" w:eastAsia="Times New Roman" w:hAnsi="Times New Roman" w:cs="Times New Roman"/>
        <w:sz w:val="22"/>
        <w:szCs w:val="22"/>
      </w:rPr>
    </w:pPr>
  </w:p>
  <w:p w14:paraId="0F1073AF" w14:textId="77777777" w:rsidR="008C5625" w:rsidRDefault="008C5625" w:rsidP="008C5625">
    <w:pPr>
      <w:pStyle w:val="En-tte"/>
      <w:tabs>
        <w:tab w:val="clear" w:pos="9020"/>
        <w:tab w:val="left" w:pos="2947"/>
      </w:tabs>
      <w:rPr>
        <w:rFonts w:ascii="Times New Roman" w:eastAsia="Times New Roman" w:hAnsi="Times New Roman" w:cs="Times New Roman"/>
        <w:sz w:val="22"/>
        <w:szCs w:val="22"/>
      </w:rPr>
    </w:pPr>
  </w:p>
  <w:p w14:paraId="0532BED8" w14:textId="77777777" w:rsidR="008C5625" w:rsidRDefault="008C5625" w:rsidP="008C5625">
    <w:pPr>
      <w:pStyle w:val="En-tte"/>
      <w:tabs>
        <w:tab w:val="clear" w:pos="9020"/>
        <w:tab w:val="left" w:pos="2947"/>
      </w:tabs>
      <w:rPr>
        <w:rFonts w:ascii="Times New Roman" w:eastAsia="Times New Roman" w:hAnsi="Times New Roman" w:cs="Times New Roman"/>
        <w:sz w:val="22"/>
        <w:szCs w:val="22"/>
      </w:rPr>
    </w:pPr>
  </w:p>
  <w:p w14:paraId="06D015C6" w14:textId="77777777" w:rsidR="008C5625" w:rsidRDefault="008C5625" w:rsidP="008C5625">
    <w:pPr>
      <w:pStyle w:val="En-tte"/>
      <w:tabs>
        <w:tab w:val="clear" w:pos="9020"/>
        <w:tab w:val="left" w:pos="2947"/>
      </w:tabs>
      <w:rPr>
        <w:rFonts w:ascii="Times New Roman" w:eastAsia="Times New Roman" w:hAnsi="Times New Roman" w:cs="Times New Roman"/>
        <w:sz w:val="22"/>
        <w:szCs w:val="22"/>
      </w:rPr>
    </w:pPr>
  </w:p>
  <w:p w14:paraId="77E01455" w14:textId="77777777" w:rsidR="008C5625" w:rsidRDefault="008C5625" w:rsidP="008C5625">
    <w:pPr>
      <w:pStyle w:val="En-tte"/>
      <w:tabs>
        <w:tab w:val="clear" w:pos="9020"/>
        <w:tab w:val="left" w:pos="2947"/>
      </w:tabs>
      <w:rPr>
        <w:rFonts w:ascii="Times New Roman" w:eastAsia="Times New Roman" w:hAnsi="Times New Roman" w:cs="Times New Roman"/>
        <w:sz w:val="22"/>
        <w:szCs w:val="22"/>
      </w:rPr>
    </w:pPr>
  </w:p>
  <w:p w14:paraId="6A79050D" w14:textId="77777777" w:rsidR="00875BB0" w:rsidRDefault="00875BB0">
    <w:pPr>
      <w:pStyle w:val="En-tte"/>
      <w:tabs>
        <w:tab w:val="clear" w:pos="9020"/>
        <w:tab w:val="center" w:pos="4819"/>
        <w:tab w:val="right" w:pos="963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40459" w14:textId="77777777" w:rsidR="0030663E" w:rsidRDefault="0030663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1A16D4"/>
    <w:multiLevelType w:val="hybridMultilevel"/>
    <w:tmpl w:val="8D463BF4"/>
    <w:lvl w:ilvl="0" w:tplc="1A12727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2979553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5BB0"/>
    <w:rsid w:val="000E1464"/>
    <w:rsid w:val="0030663E"/>
    <w:rsid w:val="00750DBF"/>
    <w:rsid w:val="007A4AD3"/>
    <w:rsid w:val="00875BB0"/>
    <w:rsid w:val="008C5625"/>
    <w:rsid w:val="00BD6926"/>
    <w:rsid w:val="00DF2048"/>
    <w:rsid w:val="00E51B0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FC3344"/>
  <w15:docId w15:val="{33BA7D8D-5A77-7041-98B8-F88EA4AAA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Corps">
    <w:name w:val="Corps"/>
    <w:rPr>
      <w:rFonts w:ascii="Helvetica Neue" w:eastAsia="Helvetica Neue" w:hAnsi="Helvetica Neue" w:cs="Helvetica Neue"/>
      <w:color w:val="000000"/>
      <w:sz w:val="22"/>
      <w:szCs w:val="22"/>
      <w14:textOutline w14:w="0" w14:cap="flat" w14:cmpd="sng" w14:algn="ctr">
        <w14:noFill/>
        <w14:prstDash w14:val="solid"/>
        <w14:bevel/>
      </w14:textOutline>
    </w:rPr>
  </w:style>
  <w:style w:type="character" w:customStyle="1" w:styleId="Aucun">
    <w:name w:val="Aucun"/>
  </w:style>
  <w:style w:type="paragraph" w:customStyle="1" w:styleId="Pardfaut">
    <w:name w:val="Par défaut"/>
    <w:pPr>
      <w:spacing w:before="160" w:line="288" w:lineRule="auto"/>
    </w:pPr>
    <w:rPr>
      <w:rFonts w:ascii="Helvetica Neue" w:hAnsi="Helvetica Neue" w:cs="Arial Unicode MS"/>
      <w:color w:val="000000"/>
      <w:sz w:val="24"/>
      <w:szCs w:val="24"/>
      <w:lang w:val="es-ES_tradnl"/>
      <w14:textOutline w14:w="0" w14:cap="flat" w14:cmpd="sng" w14:algn="ctr">
        <w14:noFill/>
        <w14:prstDash w14:val="solid"/>
        <w14:bevel/>
      </w14:textOutline>
    </w:rPr>
  </w:style>
  <w:style w:type="character" w:customStyle="1" w:styleId="Lien">
    <w:name w:val="Lien"/>
    <w:rPr>
      <w:u w:val="single"/>
    </w:rPr>
  </w:style>
  <w:style w:type="character" w:customStyle="1" w:styleId="Hyperlink0">
    <w:name w:val="Hyperlink.0"/>
    <w:basedOn w:val="Lien"/>
    <w:rPr>
      <w:b/>
      <w:bCs/>
      <w:i/>
      <w:iCs/>
      <w:outline w:val="0"/>
      <w:color w:val="0433FF"/>
      <w:u w:val="single"/>
    </w:rPr>
  </w:style>
  <w:style w:type="paragraph" w:styleId="Pieddepage">
    <w:name w:val="footer"/>
    <w:basedOn w:val="Normal"/>
    <w:link w:val="PieddepageCar"/>
    <w:uiPriority w:val="99"/>
    <w:unhideWhenUsed/>
    <w:rsid w:val="00DF2048"/>
    <w:pPr>
      <w:tabs>
        <w:tab w:val="center" w:pos="4536"/>
        <w:tab w:val="right" w:pos="9072"/>
      </w:tabs>
    </w:pPr>
  </w:style>
  <w:style w:type="character" w:customStyle="1" w:styleId="PieddepageCar">
    <w:name w:val="Pied de page Car"/>
    <w:basedOn w:val="Policepardfaut"/>
    <w:link w:val="Pieddepage"/>
    <w:uiPriority w:val="99"/>
    <w:rsid w:val="00DF2048"/>
    <w:rPr>
      <w:sz w:val="24"/>
      <w:szCs w:val="24"/>
      <w:lang w:val="en-US" w:eastAsia="en-US"/>
    </w:rPr>
  </w:style>
  <w:style w:type="paragraph" w:styleId="Notedebasdepage">
    <w:name w:val="footnote text"/>
    <w:basedOn w:val="Normal"/>
    <w:link w:val="NotedebasdepageCar"/>
    <w:uiPriority w:val="99"/>
    <w:unhideWhenUsed/>
    <w:rsid w:val="008C5625"/>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HAnsi" w:hAnsiTheme="minorHAnsi" w:cstheme="minorBidi"/>
      <w:sz w:val="20"/>
      <w:szCs w:val="20"/>
      <w:bdr w:val="none" w:sz="0" w:space="0" w:color="auto"/>
      <w:lang w:val="fr-FR"/>
    </w:rPr>
  </w:style>
  <w:style w:type="character" w:customStyle="1" w:styleId="NotedebasdepageCar">
    <w:name w:val="Note de bas de page Car"/>
    <w:basedOn w:val="Policepardfaut"/>
    <w:link w:val="Notedebasdepage"/>
    <w:uiPriority w:val="99"/>
    <w:rsid w:val="008C5625"/>
    <w:rPr>
      <w:rFonts w:asciiTheme="minorHAnsi" w:eastAsiaTheme="minorHAnsi" w:hAnsiTheme="minorHAnsi" w:cstheme="minorBidi"/>
      <w:bdr w:val="none" w:sz="0" w:space="0" w:color="auto"/>
      <w:lang w:eastAsia="en-US"/>
    </w:rPr>
  </w:style>
  <w:style w:type="paragraph" w:styleId="NormalWeb">
    <w:name w:val="Normal (Web)"/>
    <w:basedOn w:val="Normal"/>
    <w:uiPriority w:val="99"/>
    <w:unhideWhenUsed/>
    <w:rsid w:val="008C562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fr-FR" w:eastAsia="fr-FR"/>
    </w:rPr>
  </w:style>
  <w:style w:type="paragraph" w:styleId="Paragraphedeliste">
    <w:name w:val="List Paragraph"/>
    <w:basedOn w:val="Normal"/>
    <w:uiPriority w:val="34"/>
    <w:qFormat/>
    <w:rsid w:val="008C5625"/>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thelancet.com/journals/lanepe/article/PIIS2666-7762(22)00193-4/fulltext"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thelancet.com/journals/lanepe/article/PIIS2666-7762(22)00193-4/fulltext"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has-sante.fr/jcms/p_3335030/fr/elargissement-des-competences-en-matiere-de-vaccination-des-infirmiers-des-pharmaciens-et-des-sages-femmes-chez-les-enfants-et-adolescents-de-moins-de-16-ans"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png"/><Relationship Id="rId1" Type="http://schemas.openxmlformats.org/officeDocument/2006/relationships/image" Target="media/image1.png"/><Relationship Id="rId4" Type="http://schemas.openxmlformats.org/officeDocument/2006/relationships/image" Target="media/image20.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685</Words>
  <Characters>3769</Characters>
  <Application>Microsoft Office Word</Application>
  <DocSecurity>0</DocSecurity>
  <Lines>31</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Brigitte Virey</cp:lastModifiedBy>
  <cp:revision>2</cp:revision>
  <dcterms:created xsi:type="dcterms:W3CDTF">2022-10-17T07:53:00Z</dcterms:created>
  <dcterms:modified xsi:type="dcterms:W3CDTF">2022-10-17T07:53:00Z</dcterms:modified>
</cp:coreProperties>
</file>